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573F2" w:rsidR="001349D8" w:rsidP="001349D8" w:rsidRDefault="001349D8" w14:paraId="682ACB1A" w14:textId="3B68DB99">
      <w:pPr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 xml:space="preserve">The evaluation and approval of </w:t>
      </w:r>
      <w:r w:rsidRPr="005573F2" w:rsidR="005B7615">
        <w:rPr>
          <w:rFonts w:ascii="Calibri" w:hAnsi="Calibri" w:cs="Calibri"/>
        </w:rPr>
        <w:t>“</w:t>
      </w:r>
      <w:r w:rsidRPr="005573F2">
        <w:rPr>
          <w:rFonts w:ascii="Calibri" w:hAnsi="Calibri" w:cs="Calibri"/>
        </w:rPr>
        <w:t>progression arrangements</w:t>
      </w:r>
      <w:r w:rsidRPr="005573F2" w:rsidR="005B7615">
        <w:rPr>
          <w:rFonts w:ascii="Calibri" w:hAnsi="Calibri" w:cs="Calibri"/>
        </w:rPr>
        <w:t>”</w:t>
      </w:r>
      <w:r w:rsidRPr="005573F2" w:rsidR="005B7615">
        <w:rPr>
          <w:rStyle w:val="EndnoteReference"/>
          <w:rFonts w:ascii="Calibri" w:hAnsi="Calibri" w:cs="Calibri"/>
        </w:rPr>
        <w:endnoteReference w:id="1"/>
      </w:r>
      <w:r w:rsidRPr="005573F2">
        <w:rPr>
          <w:rFonts w:ascii="Calibri" w:hAnsi="Calibri" w:cs="Calibri"/>
        </w:rPr>
        <w:t xml:space="preserve"> is</w:t>
      </w:r>
      <w:r w:rsidRPr="005573F2" w:rsidR="002162EC">
        <w:rPr>
          <w:rFonts w:ascii="Calibri" w:hAnsi="Calibri" w:cs="Calibri"/>
        </w:rPr>
        <w:t xml:space="preserve"> a</w:t>
      </w:r>
      <w:r w:rsidRPr="005573F2" w:rsidR="007F525E">
        <w:rPr>
          <w:rFonts w:ascii="Calibri" w:hAnsi="Calibri" w:cs="Calibri"/>
        </w:rPr>
        <w:t xml:space="preserve"> </w:t>
      </w:r>
      <w:r w:rsidRPr="005573F2">
        <w:rPr>
          <w:rFonts w:ascii="Calibri" w:hAnsi="Calibri" w:cs="Calibri"/>
        </w:rPr>
        <w:t>process</w:t>
      </w:r>
      <w:r w:rsidRPr="005573F2" w:rsidR="002162EC">
        <w:rPr>
          <w:rFonts w:ascii="Calibri" w:hAnsi="Calibri" w:cs="Calibri"/>
        </w:rPr>
        <w:t xml:space="preserve"> approved by the Academic Strategy Group</w:t>
      </w:r>
      <w:r w:rsidRPr="005573F2" w:rsidR="00BA71C3">
        <w:rPr>
          <w:rStyle w:val="EndnoteReference"/>
          <w:rFonts w:ascii="Calibri" w:hAnsi="Calibri" w:cs="Calibri"/>
        </w:rPr>
        <w:endnoteReference w:id="2"/>
      </w:r>
      <w:r w:rsidRPr="005573F2" w:rsidR="002162EC">
        <w:rPr>
          <w:rFonts w:ascii="Calibri" w:hAnsi="Calibri" w:cs="Calibri"/>
        </w:rPr>
        <w:t xml:space="preserve"> </w:t>
      </w:r>
      <w:r w:rsidRPr="005573F2">
        <w:rPr>
          <w:rFonts w:ascii="Calibri" w:hAnsi="Calibri" w:cs="Calibri"/>
        </w:rPr>
        <w:t xml:space="preserve">through which the University </w:t>
      </w:r>
      <w:r w:rsidRPr="005573F2" w:rsidR="00E832A1">
        <w:rPr>
          <w:rFonts w:ascii="Calibri" w:hAnsi="Calibri" w:cs="Calibri"/>
        </w:rPr>
        <w:t xml:space="preserve">evaluates and confirms </w:t>
      </w:r>
      <w:r w:rsidRPr="005573F2">
        <w:rPr>
          <w:rFonts w:ascii="Calibri" w:hAnsi="Calibri" w:cs="Calibri"/>
        </w:rPr>
        <w:t>that th</w:t>
      </w:r>
      <w:r w:rsidRPr="005573F2" w:rsidR="002162EC">
        <w:rPr>
          <w:rFonts w:ascii="Calibri" w:hAnsi="Calibri" w:cs="Calibri"/>
        </w:rPr>
        <w:t>e</w:t>
      </w:r>
      <w:r w:rsidRPr="005573F2">
        <w:rPr>
          <w:rFonts w:ascii="Calibri" w:hAnsi="Calibri" w:cs="Calibri"/>
        </w:rPr>
        <w:t xml:space="preserve"> </w:t>
      </w:r>
      <w:r w:rsidRPr="005573F2" w:rsidR="002162EC">
        <w:rPr>
          <w:rFonts w:ascii="Calibri" w:hAnsi="Calibri" w:cs="Calibri"/>
        </w:rPr>
        <w:t xml:space="preserve">course(s) </w:t>
      </w:r>
      <w:r w:rsidRPr="005573F2">
        <w:rPr>
          <w:rFonts w:ascii="Calibri" w:hAnsi="Calibri" w:cs="Calibri"/>
        </w:rPr>
        <w:t xml:space="preserve">offered at a provider, </w:t>
      </w:r>
      <w:r w:rsidRPr="005573F2" w:rsidR="00E832A1">
        <w:rPr>
          <w:rFonts w:ascii="Calibri" w:hAnsi="Calibri" w:cs="Calibri"/>
        </w:rPr>
        <w:t xml:space="preserve">meet the </w:t>
      </w:r>
      <w:r w:rsidRPr="005573F2">
        <w:rPr>
          <w:rFonts w:ascii="Calibri" w:hAnsi="Calibri" w:cs="Calibri"/>
        </w:rPr>
        <w:t>admission</w:t>
      </w:r>
      <w:r w:rsidRPr="005573F2" w:rsidR="00E24697">
        <w:rPr>
          <w:rFonts w:ascii="Calibri" w:hAnsi="Calibri" w:cs="Calibri"/>
        </w:rPr>
        <w:t xml:space="preserve"> </w:t>
      </w:r>
      <w:r w:rsidRPr="005573F2" w:rsidR="00E832A1">
        <w:rPr>
          <w:rFonts w:ascii="Calibri" w:hAnsi="Calibri" w:cs="Calibri"/>
        </w:rPr>
        <w:t>requirements</w:t>
      </w:r>
      <w:r w:rsidRPr="005573F2" w:rsidR="00E24697">
        <w:rPr>
          <w:rFonts w:ascii="Calibri" w:hAnsi="Calibri" w:cs="Calibri"/>
        </w:rPr>
        <w:t xml:space="preserve"> for admission to Year 1 of </w:t>
      </w:r>
      <w:r w:rsidRPr="005573F2" w:rsidR="00E832A1">
        <w:rPr>
          <w:rFonts w:ascii="Calibri" w:hAnsi="Calibri" w:cs="Calibri"/>
        </w:rPr>
        <w:t>specified</w:t>
      </w:r>
      <w:r w:rsidRPr="005573F2">
        <w:rPr>
          <w:rFonts w:ascii="Calibri" w:hAnsi="Calibri" w:cs="Calibri"/>
        </w:rPr>
        <w:t xml:space="preserve"> BUL undergraduate or postgraduate programme</w:t>
      </w:r>
      <w:r w:rsidRPr="005573F2" w:rsidR="00971831">
        <w:rPr>
          <w:rFonts w:ascii="Calibri" w:hAnsi="Calibri" w:cs="Calibri"/>
        </w:rPr>
        <w:t>s</w:t>
      </w:r>
      <w:r w:rsidRPr="005573F2" w:rsidR="00097C3D">
        <w:rPr>
          <w:rFonts w:ascii="Calibri" w:hAnsi="Calibri" w:cs="Calibri"/>
        </w:rPr>
        <w:t xml:space="preserve"> subject to </w:t>
      </w:r>
      <w:r w:rsidR="00404037">
        <w:rPr>
          <w:rFonts w:ascii="Calibri" w:hAnsi="Calibri" w:cs="Calibri"/>
        </w:rPr>
        <w:t>meeting a</w:t>
      </w:r>
      <w:r w:rsidRPr="005573F2" w:rsidR="00097C3D">
        <w:rPr>
          <w:rFonts w:ascii="Calibri" w:hAnsi="Calibri" w:cs="Calibri"/>
        </w:rPr>
        <w:t xml:space="preserve"> specified academic criteria</w:t>
      </w:r>
      <w:r w:rsidRPr="005573F2">
        <w:rPr>
          <w:rFonts w:ascii="Calibri" w:hAnsi="Calibri" w:cs="Calibri"/>
        </w:rPr>
        <w:t xml:space="preserve">. </w:t>
      </w:r>
    </w:p>
    <w:p w:rsidRPr="004A2E2A" w:rsidR="004A2E2A" w:rsidP="00971831" w:rsidRDefault="004A2E2A" w14:paraId="007CF0DA" w14:textId="6414E219">
      <w:pPr>
        <w:spacing w:after="0"/>
        <w:jc w:val="both"/>
        <w:rPr>
          <w:rFonts w:ascii="Calibri" w:hAnsi="Calibri" w:cs="Calibri"/>
          <w:b/>
        </w:rPr>
      </w:pPr>
      <w:r w:rsidRPr="004A2E2A">
        <w:rPr>
          <w:rFonts w:ascii="Calibri" w:hAnsi="Calibri" w:cs="Calibri"/>
          <w:b/>
        </w:rPr>
        <w:t>The Approval and Completion of Progression Proposal Form</w:t>
      </w:r>
      <w:r>
        <w:rPr>
          <w:rFonts w:ascii="Calibri" w:hAnsi="Calibri" w:cs="Calibri"/>
          <w:b/>
        </w:rPr>
        <w:t xml:space="preserve"> </w:t>
      </w:r>
      <w:r w:rsidRPr="004A2E2A">
        <w:rPr>
          <w:rFonts w:ascii="Calibri" w:hAnsi="Calibri" w:cs="Calibri"/>
          <w:b/>
          <w:color w:val="FF0000"/>
        </w:rPr>
        <w:t>(Internal Use Only)</w:t>
      </w:r>
    </w:p>
    <w:p w:rsidRPr="005573F2" w:rsidR="00971831" w:rsidP="00971831" w:rsidRDefault="00BF7B49" w14:paraId="5821C27C" w14:textId="0B0CAE07">
      <w:pPr>
        <w:spacing w:after="0"/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>The process entails two</w:t>
      </w:r>
      <w:r w:rsidRPr="005573F2" w:rsidR="00971831">
        <w:rPr>
          <w:rFonts w:ascii="Calibri" w:hAnsi="Calibri" w:cs="Calibri"/>
        </w:rPr>
        <w:t xml:space="preserve"> </w:t>
      </w:r>
      <w:r w:rsidRPr="005573F2" w:rsidR="00971831">
        <w:rPr>
          <w:rFonts w:ascii="Calibri" w:hAnsi="Calibri" w:cs="Calibri"/>
          <w:i/>
        </w:rPr>
        <w:t>internal</w:t>
      </w:r>
      <w:r w:rsidRPr="005573F2" w:rsidR="00971831">
        <w:rPr>
          <w:rFonts w:ascii="Calibri" w:hAnsi="Calibri" w:cs="Calibri"/>
        </w:rPr>
        <w:t xml:space="preserve"> </w:t>
      </w:r>
      <w:r w:rsidRPr="005573F2">
        <w:rPr>
          <w:rFonts w:ascii="Calibri" w:hAnsi="Calibri" w:cs="Calibri"/>
        </w:rPr>
        <w:t>approval stages</w:t>
      </w:r>
      <w:r w:rsidRPr="005573F2" w:rsidR="00956D22">
        <w:rPr>
          <w:rFonts w:ascii="Calibri" w:hAnsi="Calibri" w:cs="Calibri"/>
        </w:rPr>
        <w:t xml:space="preserve"> summarised below</w:t>
      </w:r>
      <w:r w:rsidRPr="005573F2">
        <w:rPr>
          <w:rFonts w:ascii="Calibri" w:hAnsi="Calibri" w:cs="Calibri"/>
        </w:rPr>
        <w:t xml:space="preserve">, the first of which entails an evaluation of the provider academic and statutory oversight. This </w:t>
      </w:r>
      <w:r w:rsidRPr="005573F2" w:rsidR="007D0A74">
        <w:rPr>
          <w:rFonts w:ascii="Calibri" w:hAnsi="Calibri" w:cs="Calibri"/>
        </w:rPr>
        <w:t xml:space="preserve">is </w:t>
      </w:r>
      <w:r w:rsidRPr="005573F2">
        <w:rPr>
          <w:rFonts w:ascii="Calibri" w:hAnsi="Calibri" w:cs="Calibri"/>
        </w:rPr>
        <w:t xml:space="preserve">followed by an analysis and approval of the provider’s curriculum for admission to BUL undergraduate or postgraduate programmes. </w:t>
      </w:r>
    </w:p>
    <w:p w:rsidR="004A2E2A" w:rsidP="00971831" w:rsidRDefault="004A2E2A" w14:paraId="7F6438AD" w14:textId="77777777">
      <w:pPr>
        <w:spacing w:after="0"/>
        <w:jc w:val="both"/>
        <w:rPr>
          <w:rFonts w:ascii="Calibri" w:hAnsi="Calibri" w:cs="Calibri"/>
        </w:rPr>
      </w:pPr>
    </w:p>
    <w:p w:rsidRPr="005573F2" w:rsidR="00BF7B49" w:rsidP="002162EC" w:rsidRDefault="00BF7B49" w14:paraId="75BADA39" w14:textId="073E70EC">
      <w:pPr>
        <w:spacing w:after="0"/>
        <w:jc w:val="both"/>
        <w:rPr>
          <w:rFonts w:ascii="Calibri" w:hAnsi="Calibri" w:cs="Calibri"/>
          <w:b/>
        </w:rPr>
      </w:pPr>
      <w:r w:rsidRPr="005573F2">
        <w:rPr>
          <w:rFonts w:ascii="Calibri" w:hAnsi="Calibri" w:cs="Calibri"/>
          <w:b/>
        </w:rPr>
        <w:t>Stage 1</w:t>
      </w:r>
      <w:r w:rsidR="004A2E2A">
        <w:rPr>
          <w:rFonts w:ascii="Calibri" w:hAnsi="Calibri" w:cs="Calibri"/>
          <w:b/>
        </w:rPr>
        <w:t xml:space="preserve">: </w:t>
      </w:r>
      <w:r w:rsidRPr="005573F2">
        <w:rPr>
          <w:rFonts w:ascii="Calibri" w:hAnsi="Calibri" w:cs="Calibri"/>
          <w:b/>
        </w:rPr>
        <w:t xml:space="preserve">Part 1 Progression Proposal </w:t>
      </w:r>
      <w:r w:rsidRPr="005573F2" w:rsidR="00C65D7C">
        <w:rPr>
          <w:rFonts w:ascii="Calibri" w:hAnsi="Calibri" w:cs="Calibri"/>
          <w:b/>
        </w:rPr>
        <w:t xml:space="preserve">Form </w:t>
      </w:r>
      <w:r w:rsidRPr="005573F2">
        <w:rPr>
          <w:rFonts w:ascii="Calibri" w:hAnsi="Calibri" w:cs="Calibri"/>
          <w:b/>
        </w:rPr>
        <w:t xml:space="preserve">(Provider) </w:t>
      </w:r>
    </w:p>
    <w:p w:rsidR="005573F2" w:rsidP="005573F2" w:rsidRDefault="005573F2" w14:paraId="30F8F0B9" w14:textId="63ED0E2F">
      <w:pPr>
        <w:jc w:val="both"/>
      </w:pPr>
      <w:r>
        <w:t xml:space="preserve">The </w:t>
      </w:r>
      <w:r w:rsidR="00C27D5E">
        <w:t xml:space="preserve">Progression </w:t>
      </w:r>
      <w:r>
        <w:t>Proposal Form is for internal use only and is designed to collect sufficient information about the partner and their curriculum</w:t>
      </w:r>
      <w:r w:rsidR="4C6C7AA6">
        <w:t xml:space="preserve">. </w:t>
      </w:r>
      <w:r>
        <w:t>All applicable sections of the form should be completed with summary information text provided where required</w:t>
      </w:r>
      <w:r w:rsidR="77DCCC63">
        <w:t xml:space="preserve">. </w:t>
      </w:r>
      <w:r>
        <w:t xml:space="preserve">In addition to the key details about the provider, the </w:t>
      </w:r>
      <w:r w:rsidR="004A2E2A">
        <w:t xml:space="preserve">following </w:t>
      </w:r>
      <w:r>
        <w:t>information required:</w:t>
      </w:r>
    </w:p>
    <w:p w:rsidRPr="004A2E2A" w:rsidR="005573F2" w:rsidP="004A2E2A" w:rsidRDefault="005573F2" w14:paraId="43C46396" w14:textId="40E5C2A2">
      <w:pPr>
        <w:pStyle w:val="ListParagraph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4A2E2A">
        <w:rPr>
          <w:rFonts w:ascii="Calibri" w:hAnsi="Calibri" w:cs="Calibri"/>
        </w:rPr>
        <w:t>The provider must be authorised as an educational provider and subject to the oversight and recognition by the relevant Educational Oversight body</w:t>
      </w:r>
      <w:r w:rsidRPr="004A2E2A" w:rsidR="3B807426">
        <w:rPr>
          <w:rFonts w:ascii="Calibri" w:hAnsi="Calibri" w:cs="Calibri"/>
        </w:rPr>
        <w:t xml:space="preserve">. </w:t>
      </w:r>
      <w:r w:rsidRPr="004A2E2A">
        <w:rPr>
          <w:rFonts w:ascii="Calibri" w:hAnsi="Calibri" w:cs="Calibri"/>
        </w:rPr>
        <w:t>Please select one. (See links to Educational and Statutory Oversight Organisations below)</w:t>
      </w:r>
      <w:r w:rsidRPr="005573F2">
        <w:rPr>
          <w:rStyle w:val="EndnoteReference"/>
          <w:rFonts w:ascii="Calibri" w:hAnsi="Calibri" w:cs="Calibri"/>
        </w:rPr>
        <w:endnoteReference w:id="3"/>
      </w:r>
    </w:p>
    <w:p w:rsidRPr="004A2E2A" w:rsidR="005573F2" w:rsidP="004A2E2A" w:rsidRDefault="005573F2" w14:paraId="613651E8" w14:textId="1D5F3176">
      <w:pPr>
        <w:pStyle w:val="ListParagraph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4A2E2A">
        <w:rPr>
          <w:rFonts w:ascii="Calibri" w:hAnsi="Calibri" w:cs="Calibri"/>
        </w:rPr>
        <w:t>The UK Company Number should be provided for provides that are based in the UK.</w:t>
      </w:r>
    </w:p>
    <w:p w:rsidR="004A2E2A" w:rsidP="004A2E2A" w:rsidRDefault="005573F2" w14:paraId="0A208A1D" w14:textId="5448EB61">
      <w:pPr>
        <w:pStyle w:val="ListParagraph"/>
        <w:numPr>
          <w:ilvl w:val="0"/>
          <w:numId w:val="5"/>
        </w:numPr>
        <w:jc w:val="both"/>
      </w:pPr>
      <w:r>
        <w:t xml:space="preserve">The Provider course Information for the curriculum mapping should be obtained and attached to Part 1 of the Progression Proposal Form. This may </w:t>
      </w:r>
      <w:r w:rsidR="3A2AE1FE">
        <w:t>include</w:t>
      </w:r>
      <w:r>
        <w:t xml:space="preserve"> course specifications, course descriptions or syllabi, accreditation and other information setting out learning outcomes, </w:t>
      </w:r>
      <w:r w:rsidR="38B8D983">
        <w:t>learning,</w:t>
      </w:r>
      <w:r>
        <w:t xml:space="preserve"> and teaching strategies and marking schemes.</w:t>
      </w:r>
    </w:p>
    <w:p w:rsidRPr="00C97A5F" w:rsidR="00C97A5F" w:rsidP="00C97A5F" w:rsidRDefault="00C97A5F" w14:paraId="42DA4DFE" w14:textId="77777777">
      <w:pPr>
        <w:pStyle w:val="ListParagraph"/>
        <w:numPr>
          <w:ilvl w:val="0"/>
          <w:numId w:val="5"/>
        </w:numPr>
      </w:pPr>
      <w:r w:rsidRPr="00C97A5F">
        <w:t xml:space="preserve">Information about any third parties (BUL agents or other intermediaries) that may have brokered or proposed the opportunity to establish an articulation with the provider. </w:t>
      </w:r>
    </w:p>
    <w:p w:rsidRPr="005573F2" w:rsidR="00BF7B49" w:rsidP="002162EC" w:rsidRDefault="00BF7B49" w14:paraId="1F81346F" w14:textId="77777777">
      <w:pPr>
        <w:spacing w:after="0"/>
        <w:jc w:val="both"/>
        <w:rPr>
          <w:rFonts w:ascii="Calibri" w:hAnsi="Calibri" w:cs="Calibri"/>
          <w:b/>
        </w:rPr>
      </w:pPr>
      <w:r w:rsidRPr="005573F2">
        <w:rPr>
          <w:rFonts w:ascii="Calibri" w:hAnsi="Calibri" w:cs="Calibri"/>
          <w:b/>
        </w:rPr>
        <w:t>Part 2 Preliminary Evaluation and Outcome</w:t>
      </w:r>
    </w:p>
    <w:p w:rsidRPr="005573F2" w:rsidR="00BF7B49" w:rsidP="3BE337F1" w:rsidRDefault="00BF7B49" w14:paraId="2E0E5483" w14:textId="6BAF34DF">
      <w:pPr>
        <w:spacing w:after="0"/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 xml:space="preserve">Proposals </w:t>
      </w:r>
      <w:r w:rsidR="004A2E2A">
        <w:rPr>
          <w:rFonts w:ascii="Calibri" w:hAnsi="Calibri" w:cs="Calibri"/>
        </w:rPr>
        <w:t xml:space="preserve">are </w:t>
      </w:r>
      <w:r w:rsidRPr="005573F2">
        <w:rPr>
          <w:rFonts w:ascii="Calibri" w:hAnsi="Calibri" w:cs="Calibri"/>
        </w:rPr>
        <w:t xml:space="preserve">subject to preliminary approval by the Vice Provost – International &amp; Academic Partnerships, or in his/her absence the Chief Student </w:t>
      </w:r>
      <w:r w:rsidRPr="005573F2">
        <w:rPr>
          <w:rFonts w:ascii="Calibri" w:hAnsi="Calibri" w:eastAsia="MS Gothic" w:cs="Calibri"/>
        </w:rPr>
        <w:t>＆</w:t>
      </w:r>
      <w:r w:rsidRPr="005573F2">
        <w:rPr>
          <w:rFonts w:ascii="Calibri" w:hAnsi="Calibri" w:cs="Calibri"/>
        </w:rPr>
        <w:t xml:space="preserve"> Staff Services Officer.</w:t>
      </w:r>
      <w:r w:rsidRPr="005573F2" w:rsidR="00BA71C3">
        <w:rPr>
          <w:rFonts w:ascii="Calibri" w:hAnsi="Calibri" w:cs="Calibri"/>
        </w:rPr>
        <w:t xml:space="preserve"> Additional due diligence can be requested at this stage if further scrutiny, related to the provider’s </w:t>
      </w:r>
      <w:r w:rsidRPr="005573F2" w:rsidR="0F485DF5">
        <w:rPr>
          <w:rFonts w:ascii="Calibri" w:hAnsi="Calibri" w:cs="Calibri"/>
        </w:rPr>
        <w:t>UKVI (United Kingdom Visa and Immigration)</w:t>
      </w:r>
      <w:r w:rsidRPr="005573F2" w:rsidR="00BA71C3">
        <w:rPr>
          <w:rFonts w:ascii="Calibri" w:hAnsi="Calibri" w:cs="Calibri"/>
        </w:rPr>
        <w:t xml:space="preserve"> profile, academic </w:t>
      </w:r>
      <w:r w:rsidRPr="005573F2" w:rsidR="38946993">
        <w:rPr>
          <w:rFonts w:ascii="Calibri" w:hAnsi="Calibri" w:cs="Calibri"/>
        </w:rPr>
        <w:t>probity,</w:t>
      </w:r>
      <w:r w:rsidRPr="005573F2" w:rsidR="00BA71C3">
        <w:rPr>
          <w:rFonts w:ascii="Calibri" w:hAnsi="Calibri" w:cs="Calibri"/>
        </w:rPr>
        <w:t xml:space="preserve"> or financial health, is deemed to be necessary.</w:t>
      </w:r>
    </w:p>
    <w:p w:rsidRPr="005573F2" w:rsidR="3BE337F1" w:rsidP="3BE337F1" w:rsidRDefault="3BE337F1" w14:paraId="3A42D135" w14:textId="0E04372D">
      <w:pPr>
        <w:spacing w:after="0"/>
        <w:jc w:val="both"/>
        <w:rPr>
          <w:rFonts w:ascii="Calibri" w:hAnsi="Calibri" w:cs="Calibri"/>
        </w:rPr>
      </w:pPr>
    </w:p>
    <w:p w:rsidRPr="005573F2" w:rsidR="00BF7B49" w:rsidP="00BA71C3" w:rsidRDefault="00BF7B49" w14:paraId="3529298E" w14:textId="77777777">
      <w:pPr>
        <w:spacing w:after="0"/>
        <w:jc w:val="both"/>
        <w:rPr>
          <w:rFonts w:ascii="Calibri" w:hAnsi="Calibri" w:cs="Calibri"/>
          <w:b/>
        </w:rPr>
      </w:pPr>
      <w:r w:rsidRPr="005573F2">
        <w:rPr>
          <w:rFonts w:ascii="Calibri" w:hAnsi="Calibri" w:cs="Calibri"/>
          <w:b/>
        </w:rPr>
        <w:t xml:space="preserve">Stage 2 </w:t>
      </w:r>
    </w:p>
    <w:p w:rsidRPr="005573F2" w:rsidR="00BF7B49" w:rsidP="00BA71C3" w:rsidRDefault="00BF7B49" w14:paraId="072BF7AB" w14:textId="77777777">
      <w:pPr>
        <w:spacing w:after="0"/>
        <w:jc w:val="both"/>
        <w:rPr>
          <w:rFonts w:ascii="Calibri" w:hAnsi="Calibri" w:cs="Calibri"/>
          <w:b/>
        </w:rPr>
      </w:pPr>
      <w:r w:rsidRPr="005573F2">
        <w:rPr>
          <w:rFonts w:ascii="Calibri" w:hAnsi="Calibri" w:cs="Calibri"/>
          <w:b/>
        </w:rPr>
        <w:t>Part 3 Academic Evaluation and Admission Progression Statement</w:t>
      </w:r>
    </w:p>
    <w:p w:rsidRPr="005573F2" w:rsidR="00BF7B49" w:rsidP="00BA71C3" w:rsidRDefault="00BF7B49" w14:paraId="3CC90EBF" w14:textId="5BFCB336">
      <w:pPr>
        <w:spacing w:after="0"/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>Subject to a successful Stage 1 evaluation outcome, Part 3 The Academic Evaluation and Admission Progression Statement is completed</w:t>
      </w:r>
      <w:r w:rsidRPr="005573F2" w:rsidR="002162EC">
        <w:rPr>
          <w:rFonts w:ascii="Calibri" w:hAnsi="Calibri" w:cs="Calibri"/>
        </w:rPr>
        <w:t xml:space="preserve"> by Vice Dean International or Admission Tutor and authorised </w:t>
      </w:r>
      <w:r w:rsidRPr="005573F2">
        <w:rPr>
          <w:rFonts w:ascii="Calibri" w:hAnsi="Calibri" w:cs="Calibri"/>
        </w:rPr>
        <w:t>by</w:t>
      </w:r>
      <w:r w:rsidRPr="005573F2" w:rsidR="002162EC">
        <w:rPr>
          <w:rFonts w:ascii="Calibri" w:hAnsi="Calibri" w:cs="Calibri"/>
        </w:rPr>
        <w:t xml:space="preserve"> either Dean or Vice Dean</w:t>
      </w:r>
      <w:r w:rsidRPr="005573F2">
        <w:rPr>
          <w:rFonts w:ascii="Calibri" w:hAnsi="Calibri" w:cs="Calibri"/>
        </w:rPr>
        <w:t xml:space="preserve">. </w:t>
      </w:r>
    </w:p>
    <w:p w:rsidRPr="005573F2" w:rsidR="005573F2" w:rsidP="00BA71C3" w:rsidRDefault="005573F2" w14:paraId="13A3D80B" w14:textId="3BCF77CE">
      <w:pPr>
        <w:spacing w:after="0"/>
        <w:jc w:val="both"/>
        <w:rPr>
          <w:rFonts w:ascii="Calibri" w:hAnsi="Calibri" w:cs="Calibri"/>
        </w:rPr>
      </w:pPr>
    </w:p>
    <w:p w:rsidR="00C97A5F" w:rsidP="004A2E2A" w:rsidRDefault="005573F2" w14:paraId="7D926124" w14:textId="77777777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4A2E2A">
        <w:rPr>
          <w:rFonts w:ascii="Calibri" w:hAnsi="Calibri" w:cs="Calibri"/>
        </w:rPr>
        <w:t>The University must determine that all students admitted are capable of completion of the programme</w:t>
      </w:r>
      <w:r w:rsidRPr="005573F2">
        <w:rPr>
          <w:rStyle w:val="EndnoteReference"/>
          <w:rFonts w:ascii="Calibri" w:hAnsi="Calibri" w:cs="Calibri"/>
        </w:rPr>
        <w:endnoteReference w:id="4"/>
      </w:r>
      <w:r w:rsidRPr="004A2E2A">
        <w:rPr>
          <w:rFonts w:ascii="Calibri" w:hAnsi="Calibri" w:cs="Calibri"/>
        </w:rPr>
        <w:t>. based on the evaluation of specified academic provision offered by the provider</w:t>
      </w:r>
      <w:r w:rsidR="00C97A5F">
        <w:rPr>
          <w:rFonts w:ascii="Calibri" w:hAnsi="Calibri" w:cs="Calibri"/>
        </w:rPr>
        <w:t>.</w:t>
      </w:r>
    </w:p>
    <w:p w:rsidR="005573F2" w:rsidP="004A2E2A" w:rsidRDefault="00C97A5F" w14:paraId="7D939D51" w14:textId="409EDA1F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the admission criteria (grade and addition indications such as the completion of specified provider study units) for each BUL undergraduate or postgraduate programme should be confirmed on Part 3:</w:t>
      </w:r>
      <w:r w:rsidR="002921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Academic Evaluation and Admission Progression Statement</w:t>
      </w:r>
      <w:r w:rsidRPr="004A2E2A" w:rsidR="005573F2">
        <w:rPr>
          <w:rFonts w:ascii="Calibri" w:hAnsi="Calibri" w:cs="Calibri"/>
        </w:rPr>
        <w:t>.</w:t>
      </w:r>
    </w:p>
    <w:p w:rsidRPr="004A2E2A" w:rsidR="005573F2" w:rsidP="004A2E2A" w:rsidRDefault="005573F2" w14:paraId="7927D9AA" w14:textId="0245E261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4A2E2A">
        <w:rPr>
          <w:rFonts w:ascii="Calibri" w:hAnsi="Calibri" w:cs="Calibri"/>
        </w:rPr>
        <w:t>All admissions are subject to the University’s standard admission policies including English language requirements for undergraduate and postgraduate admissions.</w:t>
      </w:r>
    </w:p>
    <w:p w:rsidRPr="00C97A5F" w:rsidR="005573F2" w:rsidP="004A2E2A" w:rsidRDefault="005573F2" w14:paraId="5ED36B1B" w14:textId="7C7C7C81">
      <w:pPr>
        <w:pStyle w:val="ListParagraph"/>
        <w:numPr>
          <w:ilvl w:val="0"/>
          <w:numId w:val="6"/>
        </w:numPr>
        <w:jc w:val="both"/>
        <w:rPr>
          <w:rStyle w:val="Hyperlink"/>
          <w:rFonts w:ascii="Calibri" w:hAnsi="Calibri" w:cs="Calibri"/>
          <w:color w:val="auto"/>
          <w:u w:val="none"/>
        </w:rPr>
      </w:pPr>
      <w:r w:rsidRPr="004A2E2A">
        <w:rPr>
          <w:rFonts w:ascii="Calibri" w:hAnsi="Calibri" w:cs="Calibri"/>
        </w:rPr>
        <w:lastRenderedPageBreak/>
        <w:t xml:space="preserve">If the provider’s English language qualification is proposed to assess EFL proficiency, please contact the Compliance Team for guidance </w:t>
      </w:r>
      <w:hyperlink r:id="rId11">
        <w:r w:rsidRPr="004A2E2A">
          <w:rPr>
            <w:rStyle w:val="Hyperlink"/>
            <w:rFonts w:ascii="Calibri" w:hAnsi="Calibri" w:cs="Calibri"/>
          </w:rPr>
          <w:t>Matthew.Quish@brunel.ac.uk</w:t>
        </w:r>
      </w:hyperlink>
    </w:p>
    <w:p w:rsidRPr="00C97A5F" w:rsidR="00C97A5F" w:rsidP="004A2E2A" w:rsidRDefault="00C97A5F" w14:paraId="4EC14E42" w14:textId="60BE97C7">
      <w:pPr>
        <w:pStyle w:val="ListParagraph"/>
        <w:numPr>
          <w:ilvl w:val="0"/>
          <w:numId w:val="6"/>
        </w:numPr>
        <w:jc w:val="both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A review date defaulted to </w:t>
      </w:r>
      <w:r w:rsidR="00571097">
        <w:rPr>
          <w:rStyle w:val="Hyperlink"/>
          <w:rFonts w:ascii="Calibri" w:hAnsi="Calibri" w:cs="Calibri"/>
          <w:color w:val="auto"/>
          <w:u w:val="none"/>
        </w:rPr>
        <w:t>30</w:t>
      </w:r>
      <w:bookmarkStart w:name="_GoBack" w:id="0"/>
      <w:bookmarkEnd w:id="0"/>
      <w:r>
        <w:rPr>
          <w:rStyle w:val="Hyperlink"/>
          <w:rFonts w:ascii="Calibri" w:hAnsi="Calibri" w:cs="Calibri"/>
          <w:color w:val="auto"/>
          <w:u w:val="none"/>
        </w:rPr>
        <w:t xml:space="preserve"> months should be set out where requested.</w:t>
      </w:r>
    </w:p>
    <w:p w:rsidRPr="005573F2" w:rsidR="002162EC" w:rsidP="002162EC" w:rsidRDefault="009170B7" w14:paraId="1B83B917" w14:textId="69D90904">
      <w:pPr>
        <w:spacing w:after="0"/>
        <w:jc w:val="both"/>
        <w:rPr>
          <w:rFonts w:ascii="Calibri" w:hAnsi="Calibri" w:cs="Calibri"/>
          <w:b/>
        </w:rPr>
      </w:pPr>
      <w:r w:rsidRPr="005573F2">
        <w:rPr>
          <w:rFonts w:ascii="Calibri" w:hAnsi="Calibri" w:cs="Calibri"/>
          <w:b/>
        </w:rPr>
        <w:t>Confirmation of the Progression Arrangement and Marketing</w:t>
      </w:r>
    </w:p>
    <w:p w:rsidR="00571097" w:rsidP="00C65D7C" w:rsidRDefault="009170B7" w14:paraId="0BCB29DA" w14:textId="77777777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>Subject to</w:t>
      </w:r>
      <w:r w:rsidRPr="005573F2" w:rsidR="00C65D7C">
        <w:rPr>
          <w:rFonts w:ascii="Calibri" w:hAnsi="Calibri" w:cs="Calibri"/>
        </w:rPr>
        <w:t xml:space="preserve"> the</w:t>
      </w:r>
      <w:r w:rsidRPr="005573F2">
        <w:rPr>
          <w:rFonts w:ascii="Calibri" w:hAnsi="Calibri" w:cs="Calibri"/>
        </w:rPr>
        <w:t xml:space="preserve"> successful </w:t>
      </w:r>
      <w:r w:rsidRPr="005573F2" w:rsidR="00147A4B">
        <w:rPr>
          <w:rFonts w:ascii="Calibri" w:hAnsi="Calibri" w:cs="Calibri"/>
        </w:rPr>
        <w:t>Preliminary and Academic Evaluation outcome</w:t>
      </w:r>
      <w:r w:rsidRPr="005573F2">
        <w:rPr>
          <w:rFonts w:ascii="Calibri" w:hAnsi="Calibri" w:cs="Calibri"/>
        </w:rPr>
        <w:t xml:space="preserve">, the provider </w:t>
      </w:r>
      <w:r w:rsidRPr="005573F2" w:rsidR="00C65D7C">
        <w:rPr>
          <w:rFonts w:ascii="Calibri" w:hAnsi="Calibri" w:cs="Calibri"/>
        </w:rPr>
        <w:t xml:space="preserve">will be </w:t>
      </w:r>
      <w:r w:rsidRPr="005573F2">
        <w:rPr>
          <w:rFonts w:ascii="Calibri" w:hAnsi="Calibri" w:cs="Calibri"/>
        </w:rPr>
        <w:t xml:space="preserve">issued with a </w:t>
      </w:r>
      <w:r w:rsidRPr="005573F2" w:rsidR="00C65D7C">
        <w:rPr>
          <w:rFonts w:ascii="Calibri" w:hAnsi="Calibri" w:cs="Calibri"/>
          <w:i/>
        </w:rPr>
        <w:t>C</w:t>
      </w:r>
      <w:r w:rsidRPr="005573F2">
        <w:rPr>
          <w:rFonts w:ascii="Calibri" w:hAnsi="Calibri" w:cs="Calibri"/>
          <w:i/>
        </w:rPr>
        <w:t>onfirmation of Direct Entry for Approved Qualification Letter</w:t>
      </w:r>
      <w:r w:rsidRPr="005573F2" w:rsidR="00147A4B">
        <w:rPr>
          <w:rFonts w:ascii="Calibri" w:hAnsi="Calibri" w:cs="Calibri"/>
        </w:rPr>
        <w:t xml:space="preserve"> issued by the Global Engagement Office</w:t>
      </w:r>
      <w:r w:rsidRPr="005573F2">
        <w:rPr>
          <w:rFonts w:ascii="Calibri" w:hAnsi="Calibri" w:cs="Calibri"/>
        </w:rPr>
        <w:t>.</w:t>
      </w:r>
    </w:p>
    <w:p w:rsidRPr="005573F2" w:rsidR="00C65D7C" w:rsidP="00C65D7C" w:rsidRDefault="009170B7" w14:paraId="50F8010C" w14:textId="323E914E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 xml:space="preserve"> </w:t>
      </w:r>
      <w:r w:rsidRPr="005573F2" w:rsidR="00571097">
        <w:rPr>
          <w:rFonts w:ascii="Calibri" w:hAnsi="Calibri" w:cs="Calibri"/>
        </w:rPr>
        <w:t>Subject to the successful Preliminary and Academic Evaluation outcome,</w:t>
      </w:r>
      <w:r w:rsidR="00571097">
        <w:rPr>
          <w:rFonts w:ascii="Calibri" w:hAnsi="Calibri" w:cs="Calibri"/>
        </w:rPr>
        <w:t xml:space="preserve"> a 3+1 or 4+1 agreement will be drawn up for progressions from universities.</w:t>
      </w:r>
    </w:p>
    <w:p w:rsidRPr="005573F2" w:rsidR="00C65D7C" w:rsidP="00C65D7C" w:rsidRDefault="00C65D7C" w14:paraId="4F70EFE8" w14:textId="1178F938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>Designated contacts at BUL and the Provider are appointed and listed on the Confirmation of Direct Entry for Approval Qualification.</w:t>
      </w:r>
    </w:p>
    <w:p w:rsidRPr="005573F2" w:rsidR="00147A4B" w:rsidP="00C65D7C" w:rsidRDefault="00147A4B" w14:paraId="68FD8939" w14:textId="013CB489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 xml:space="preserve">The designated BUL contact should ensure that </w:t>
      </w:r>
      <w:r w:rsidR="004A2E2A">
        <w:rPr>
          <w:rFonts w:ascii="Calibri" w:hAnsi="Calibri" w:cs="Calibri"/>
        </w:rPr>
        <w:t xml:space="preserve">communication </w:t>
      </w:r>
      <w:r w:rsidRPr="005573F2">
        <w:rPr>
          <w:rFonts w:ascii="Calibri" w:hAnsi="Calibri" w:cs="Calibri"/>
        </w:rPr>
        <w:t>is maintained with the designated contact at the provider.</w:t>
      </w:r>
    </w:p>
    <w:p w:rsidR="009170B7" w:rsidP="00C65D7C" w:rsidRDefault="009170B7" w14:paraId="60A8FF93" w14:textId="087402F3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>All publicity and promotional materials must be pre-approved by the University’s department of Communications, Marketing and Student Recruitment (CMSR) before any publication or distribution. In no event can promotional material imply any “accreditation”, “recognition”, “validation”, “approval”, “articulation,”</w:t>
      </w:r>
      <w:r w:rsidRPr="005573F2" w:rsidR="007F525E">
        <w:rPr>
          <w:rFonts w:ascii="Calibri" w:hAnsi="Calibri" w:cs="Calibri"/>
        </w:rPr>
        <w:t xml:space="preserve"> “guaranteed admission”,</w:t>
      </w:r>
      <w:r w:rsidRPr="005573F2">
        <w:rPr>
          <w:rFonts w:ascii="Calibri" w:hAnsi="Calibri" w:cs="Calibri"/>
        </w:rPr>
        <w:t xml:space="preserve"> “guaranteed progression” or any similar relationship</w:t>
      </w:r>
    </w:p>
    <w:p w:rsidRPr="005573F2" w:rsidR="009170B7" w:rsidP="002162EC" w:rsidRDefault="009170B7" w14:paraId="1B3D0E0A" w14:textId="77777777">
      <w:pPr>
        <w:spacing w:after="0"/>
        <w:jc w:val="both"/>
        <w:rPr>
          <w:rFonts w:ascii="Calibri" w:hAnsi="Calibri" w:cs="Calibri"/>
        </w:rPr>
      </w:pPr>
    </w:p>
    <w:p w:rsidRPr="005573F2" w:rsidR="00BF7B49" w:rsidP="3BE337F1" w:rsidRDefault="049CDBB8" w14:paraId="3D2BCBC9" w14:textId="3CFCC953">
      <w:pPr>
        <w:spacing w:after="0"/>
        <w:jc w:val="both"/>
        <w:rPr>
          <w:rFonts w:ascii="Calibri" w:hAnsi="Calibri" w:cs="Calibri"/>
          <w:b/>
          <w:bCs/>
        </w:rPr>
      </w:pPr>
      <w:r w:rsidRPr="005573F2">
        <w:rPr>
          <w:rFonts w:ascii="Calibri" w:hAnsi="Calibri" w:cs="Calibri"/>
          <w:b/>
          <w:bCs/>
        </w:rPr>
        <w:t xml:space="preserve">The </w:t>
      </w:r>
      <w:r w:rsidRPr="005573F2" w:rsidR="00BF7B49">
        <w:rPr>
          <w:rFonts w:ascii="Calibri" w:hAnsi="Calibri" w:cs="Calibri"/>
          <w:b/>
          <w:bCs/>
        </w:rPr>
        <w:t>Review</w:t>
      </w:r>
      <w:r w:rsidRPr="005573F2" w:rsidR="7E2BB1D1">
        <w:rPr>
          <w:rFonts w:ascii="Calibri" w:hAnsi="Calibri" w:cs="Calibri"/>
          <w:b/>
          <w:bCs/>
        </w:rPr>
        <w:t xml:space="preserve"> of Progression Arrangements</w:t>
      </w:r>
    </w:p>
    <w:p w:rsidRPr="005573F2" w:rsidR="00BF7B49" w:rsidP="009170B7" w:rsidRDefault="00BF7B49" w14:paraId="5435ACFE" w14:textId="3FA0590B">
      <w:pPr>
        <w:spacing w:after="0"/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>All new</w:t>
      </w:r>
      <w:r w:rsidRPr="005573F2" w:rsidR="00194DAD">
        <w:rPr>
          <w:rFonts w:ascii="Calibri" w:hAnsi="Calibri" w:cs="Calibri"/>
        </w:rPr>
        <w:t xml:space="preserve"> progression </w:t>
      </w:r>
      <w:r w:rsidRPr="005573F2">
        <w:rPr>
          <w:rFonts w:ascii="Calibri" w:hAnsi="Calibri" w:cs="Calibri"/>
        </w:rPr>
        <w:t xml:space="preserve">agreements will be reported to </w:t>
      </w:r>
      <w:r w:rsidRPr="005573F2" w:rsidR="31C52AFF">
        <w:rPr>
          <w:rFonts w:ascii="Calibri" w:hAnsi="Calibri" w:cs="Calibri"/>
        </w:rPr>
        <w:t>RSG (Recruitment Strategy Group)</w:t>
      </w:r>
      <w:r w:rsidRPr="005573F2" w:rsidR="00194DAD">
        <w:rPr>
          <w:rFonts w:ascii="Calibri" w:hAnsi="Calibri" w:cs="Calibri"/>
        </w:rPr>
        <w:t xml:space="preserve"> </w:t>
      </w:r>
      <w:r w:rsidRPr="005573F2" w:rsidR="72717CCF">
        <w:rPr>
          <w:rFonts w:ascii="Calibri" w:hAnsi="Calibri" w:cs="Calibri"/>
        </w:rPr>
        <w:t xml:space="preserve">at intervals not exceeding </w:t>
      </w:r>
      <w:r w:rsidR="00571097">
        <w:rPr>
          <w:rFonts w:ascii="Calibri" w:hAnsi="Calibri" w:cs="Calibri"/>
        </w:rPr>
        <w:t xml:space="preserve">twelve </w:t>
      </w:r>
      <w:r w:rsidRPr="005573F2" w:rsidR="72717CCF">
        <w:rPr>
          <w:rFonts w:ascii="Calibri" w:hAnsi="Calibri" w:cs="Calibri"/>
        </w:rPr>
        <w:t>(</w:t>
      </w:r>
      <w:r w:rsidR="00571097">
        <w:rPr>
          <w:rFonts w:ascii="Calibri" w:hAnsi="Calibri" w:cs="Calibri"/>
        </w:rPr>
        <w:t>12</w:t>
      </w:r>
      <w:r w:rsidRPr="005573F2" w:rsidR="72717CCF">
        <w:rPr>
          <w:rFonts w:ascii="Calibri" w:hAnsi="Calibri" w:cs="Calibri"/>
        </w:rPr>
        <w:t>) months</w:t>
      </w:r>
      <w:r w:rsidRPr="005573F2" w:rsidR="00194DAD">
        <w:rPr>
          <w:rFonts w:ascii="Calibri" w:hAnsi="Calibri" w:cs="Calibri"/>
        </w:rPr>
        <w:t xml:space="preserve">. </w:t>
      </w:r>
      <w:r w:rsidRPr="005573F2">
        <w:rPr>
          <w:rFonts w:ascii="Calibri" w:hAnsi="Calibri" w:cs="Calibri"/>
        </w:rPr>
        <w:t>A review date is required for all progression arrangements, by default after 2.5 years to capture a full cycle of enrolments from the provider. The outcome of the review will be reported to RSG.</w:t>
      </w:r>
    </w:p>
    <w:p w:rsidRPr="005573F2" w:rsidR="005573F2" w:rsidP="009170B7" w:rsidRDefault="005573F2" w14:paraId="3B2DEDF2" w14:textId="6C0E248B">
      <w:pPr>
        <w:spacing w:after="0"/>
        <w:jc w:val="both"/>
        <w:rPr>
          <w:rFonts w:ascii="Calibri" w:hAnsi="Calibri" w:cs="Calibri"/>
        </w:rPr>
      </w:pPr>
    </w:p>
    <w:p w:rsidRPr="005573F2" w:rsidR="005573F2" w:rsidP="005573F2" w:rsidRDefault="005573F2" w14:paraId="1D92840E" w14:textId="77777777">
      <w:pPr>
        <w:jc w:val="both"/>
        <w:rPr>
          <w:rFonts w:ascii="Calibri" w:hAnsi="Calibri" w:cs="Calibri"/>
        </w:rPr>
      </w:pPr>
      <w:r w:rsidRPr="005573F2">
        <w:rPr>
          <w:rFonts w:ascii="Calibri" w:hAnsi="Calibri" w:cs="Calibri"/>
        </w:rPr>
        <w:t xml:space="preserve">The progression arrangement is subject to review and the university reserves the right to amend, suspend or terminate the progression arrangement should </w:t>
      </w:r>
      <w:r w:rsidRPr="005573F2">
        <w:rPr>
          <w:rFonts w:ascii="Calibri" w:hAnsi="Calibri" w:cs="Calibri"/>
          <w:b/>
        </w:rPr>
        <w:t xml:space="preserve">(a) </w:t>
      </w:r>
      <w:r w:rsidRPr="005573F2">
        <w:rPr>
          <w:rFonts w:ascii="Calibri" w:hAnsi="Calibri" w:cs="Calibri"/>
        </w:rPr>
        <w:t xml:space="preserve">the University determine that the academic progression of students admitted through the progression arrangement is not satisfactory as defined by the University’s Quality Framework. </w:t>
      </w:r>
      <w:r w:rsidRPr="005573F2">
        <w:rPr>
          <w:rFonts w:ascii="Calibri" w:hAnsi="Calibri" w:cs="Calibri"/>
          <w:b/>
        </w:rPr>
        <w:t>(b)</w:t>
      </w:r>
      <w:r w:rsidRPr="005573F2">
        <w:rPr>
          <w:rFonts w:ascii="Calibri" w:hAnsi="Calibri" w:cs="Calibri"/>
        </w:rPr>
        <w:t xml:space="preserve"> the provider’s statutory or educational oversight status changes, and </w:t>
      </w:r>
      <w:r w:rsidRPr="005573F2">
        <w:rPr>
          <w:rFonts w:ascii="Calibri" w:hAnsi="Calibri" w:cs="Calibri"/>
          <w:b/>
        </w:rPr>
        <w:t>(c)</w:t>
      </w:r>
      <w:r w:rsidRPr="005573F2">
        <w:rPr>
          <w:rFonts w:ascii="Calibri" w:hAnsi="Calibri" w:cs="Calibri"/>
        </w:rPr>
        <w:t xml:space="preserve"> subsequent to approval, the arrangement represents a risk and/or reputational damage to the University. </w:t>
      </w:r>
    </w:p>
    <w:sectPr w:rsidRPr="005573F2" w:rsidR="005573F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3324" w16cex:dateUtc="2022-01-21T13:27:00Z"/>
  <w16cex:commentExtensible w16cex:durableId="259532D1" w16cex:dateUtc="2022-01-21T13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1892C" w14:textId="77777777" w:rsidR="005B7615" w:rsidRDefault="005B7615" w:rsidP="005B7615">
      <w:pPr>
        <w:spacing w:after="0" w:line="240" w:lineRule="auto"/>
      </w:pPr>
      <w:r>
        <w:separator/>
      </w:r>
    </w:p>
  </w:endnote>
  <w:endnote w:type="continuationSeparator" w:id="0">
    <w:p w14:paraId="5BF688D2" w14:textId="77777777" w:rsidR="005B7615" w:rsidRDefault="005B7615" w:rsidP="005B7615">
      <w:pPr>
        <w:spacing w:after="0" w:line="240" w:lineRule="auto"/>
      </w:pPr>
      <w:r>
        <w:continuationSeparator/>
      </w:r>
    </w:p>
  </w:endnote>
  <w:endnote w:id="1">
    <w:p w14:paraId="747B5AFA" w14:textId="7882836A" w:rsidR="005B7615" w:rsidRPr="00971831" w:rsidRDefault="005B7615" w:rsidP="005B7615">
      <w:pPr>
        <w:pStyle w:val="EndnoteText"/>
        <w:jc w:val="both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971831">
        <w:rPr>
          <w:sz w:val="16"/>
          <w:szCs w:val="16"/>
        </w:rPr>
        <w:t>“Arrangements whereby students who have completed a programme at one organisation successfully may be considered on an individual basis for progression either to the beginning or to a more advanced stage of a programme of the degree-awarding body.</w:t>
      </w:r>
      <w:r w:rsidR="00097C3D">
        <w:rPr>
          <w:sz w:val="16"/>
          <w:szCs w:val="16"/>
        </w:rPr>
        <w:t>”</w:t>
      </w:r>
      <w:r w:rsidRPr="00971831">
        <w:rPr>
          <w:sz w:val="16"/>
          <w:szCs w:val="16"/>
        </w:rPr>
        <w:t xml:space="preserve"> (</w:t>
      </w:r>
      <w:hyperlink r:id="rId1" w:history="1">
        <w:r w:rsidRPr="00971831">
          <w:rPr>
            <w:rStyle w:val="Hyperlink"/>
            <w:sz w:val="16"/>
            <w:szCs w:val="16"/>
          </w:rPr>
          <w:t>QAA Glossary</w:t>
        </w:r>
      </w:hyperlink>
      <w:r w:rsidR="00E72614" w:rsidRPr="00971831">
        <w:rPr>
          <w:sz w:val="16"/>
          <w:szCs w:val="16"/>
        </w:rPr>
        <w:t>)</w:t>
      </w:r>
    </w:p>
    <w:p w14:paraId="097F1F8F" w14:textId="2850E93D" w:rsidR="00E72614" w:rsidRPr="00971831" w:rsidRDefault="00942763" w:rsidP="005B7615">
      <w:pPr>
        <w:pStyle w:val="EndnoteText"/>
        <w:jc w:val="both"/>
        <w:rPr>
          <w:sz w:val="16"/>
          <w:szCs w:val="16"/>
        </w:rPr>
      </w:pPr>
      <w:r w:rsidRPr="00971831">
        <w:rPr>
          <w:sz w:val="16"/>
          <w:szCs w:val="16"/>
        </w:rPr>
        <w:t xml:space="preserve">Articulation: </w:t>
      </w:r>
      <w:r w:rsidR="00E72614" w:rsidRPr="00971831">
        <w:rPr>
          <w:sz w:val="16"/>
          <w:szCs w:val="16"/>
        </w:rPr>
        <w:t>“An arrangement where learners enrolled on a designated course at a partner provider are automatically entitled (subject to academic criteria) to be admitted with advanced standing to a subsequent part or year of a degree-awarding body’s course. ‘Advanced standing’ is the recognition of previous successful study, reducing the number of modules needed to complete the course</w:t>
      </w:r>
      <w:r w:rsidRPr="00971831">
        <w:rPr>
          <w:sz w:val="16"/>
          <w:szCs w:val="16"/>
        </w:rPr>
        <w:t xml:space="preserve">.” </w:t>
      </w:r>
      <w:hyperlink r:id="rId2" w:history="1">
        <w:r w:rsidR="00E72614" w:rsidRPr="00971831">
          <w:rPr>
            <w:rStyle w:val="Hyperlink"/>
            <w:sz w:val="16"/>
            <w:szCs w:val="16"/>
          </w:rPr>
          <w:t>Higher Education Credit Framework for England: Advice on Academic Credit Arrangements May 2021</w:t>
        </w:r>
      </w:hyperlink>
    </w:p>
  </w:endnote>
  <w:endnote w:id="2">
    <w:p w14:paraId="179E6789" w14:textId="55EA26BE" w:rsidR="00BA71C3" w:rsidRDefault="00BA71C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F525E">
        <w:rPr>
          <w:sz w:val="16"/>
          <w:szCs w:val="16"/>
        </w:rPr>
        <w:t>Academic Strategy Committee (ASC) Paper ASC</w:t>
      </w:r>
      <w:r w:rsidR="007F525E" w:rsidRPr="007F525E">
        <w:rPr>
          <w:sz w:val="16"/>
          <w:szCs w:val="16"/>
        </w:rPr>
        <w:t>0166</w:t>
      </w:r>
    </w:p>
  </w:endnote>
  <w:endnote w:id="3">
    <w:p w14:paraId="18E0C9F0" w14:textId="77777777" w:rsidR="005573F2" w:rsidRPr="00850BD6" w:rsidRDefault="005573F2" w:rsidP="005573F2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850BD6">
        <w:rPr>
          <w:rStyle w:val="EndnoteReference"/>
          <w:sz w:val="16"/>
          <w:szCs w:val="16"/>
        </w:rPr>
        <w:endnoteRef/>
      </w:r>
      <w:r w:rsidRPr="00850BD6">
        <w:rPr>
          <w:sz w:val="16"/>
          <w:szCs w:val="16"/>
        </w:rPr>
        <w:t xml:space="preserve"> </w:t>
      </w:r>
      <w:r w:rsidRPr="00850BD6">
        <w:rPr>
          <w:rFonts w:ascii="Arial" w:hAnsi="Arial" w:cs="Arial"/>
          <w:b/>
          <w:bCs/>
          <w:sz w:val="16"/>
          <w:szCs w:val="16"/>
        </w:rPr>
        <w:t>Educational and Statutory Oversight Links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573F2" w:rsidRPr="00850BD6" w14:paraId="6E7A608F" w14:textId="77777777" w:rsidTr="008E7AC4">
        <w:tc>
          <w:tcPr>
            <w:tcW w:w="4508" w:type="dxa"/>
          </w:tcPr>
          <w:p w14:paraId="02AFB86F" w14:textId="77777777" w:rsidR="005573F2" w:rsidRPr="00850BD6" w:rsidRDefault="00CF44BA" w:rsidP="005573F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3">
              <w:r w:rsidR="005573F2" w:rsidRPr="00850BD6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The Register – Office for Students</w:t>
              </w:r>
            </w:hyperlink>
          </w:p>
        </w:tc>
        <w:tc>
          <w:tcPr>
            <w:tcW w:w="4508" w:type="dxa"/>
          </w:tcPr>
          <w:p w14:paraId="2A432F4D" w14:textId="00AF1BD8" w:rsidR="005573F2" w:rsidRPr="00850BD6" w:rsidRDefault="00CF44BA" w:rsidP="005573F2">
            <w:pPr>
              <w:spacing w:line="257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hyperlink r:id="rId4">
              <w:r w:rsidR="008E7AC4" w:rsidRPr="00850BD6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Useful Reference for Education Ministries Worldwide</w:t>
              </w:r>
            </w:hyperlink>
          </w:p>
        </w:tc>
      </w:tr>
      <w:tr w:rsidR="005573F2" w:rsidRPr="00850BD6" w14:paraId="43BBFDE0" w14:textId="77777777" w:rsidTr="008E7AC4">
        <w:tc>
          <w:tcPr>
            <w:tcW w:w="4508" w:type="dxa"/>
          </w:tcPr>
          <w:p w14:paraId="67D738A5" w14:textId="77777777" w:rsidR="005573F2" w:rsidRPr="00850BD6" w:rsidRDefault="00CF44BA" w:rsidP="005573F2">
            <w:pPr>
              <w:spacing w:line="257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5">
              <w:r w:rsidR="005573F2" w:rsidRPr="00850BD6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UK Quality Assurance Agency (QAA) Reports</w:t>
              </w:r>
            </w:hyperlink>
          </w:p>
        </w:tc>
        <w:tc>
          <w:tcPr>
            <w:tcW w:w="4508" w:type="dxa"/>
          </w:tcPr>
          <w:p w14:paraId="46A504F5" w14:textId="77777777" w:rsidR="005573F2" w:rsidRPr="00850BD6" w:rsidRDefault="00CF44BA" w:rsidP="005573F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6">
              <w:r w:rsidR="005573F2" w:rsidRPr="00850BD6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British Council Services for International Marketing</w:t>
              </w:r>
            </w:hyperlink>
          </w:p>
        </w:tc>
      </w:tr>
      <w:tr w:rsidR="005573F2" w:rsidRPr="00850BD6" w14:paraId="77F0F0F5" w14:textId="77777777" w:rsidTr="008E7AC4">
        <w:tc>
          <w:tcPr>
            <w:tcW w:w="4508" w:type="dxa"/>
          </w:tcPr>
          <w:p w14:paraId="1E07502C" w14:textId="7DE60A17" w:rsidR="005573F2" w:rsidRPr="008E7AC4" w:rsidRDefault="00CF44BA" w:rsidP="005573F2">
            <w:pPr>
              <w:spacing w:line="257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hyperlink r:id="rId7">
              <w:r w:rsidR="008E7AC4" w:rsidRPr="008E7AC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Independent School Inspectorate</w:t>
              </w:r>
            </w:hyperlink>
          </w:p>
        </w:tc>
        <w:tc>
          <w:tcPr>
            <w:tcW w:w="4508" w:type="dxa"/>
          </w:tcPr>
          <w:p w14:paraId="199B5AA3" w14:textId="77777777" w:rsidR="005573F2" w:rsidRPr="00850BD6" w:rsidRDefault="00CF44BA" w:rsidP="005573F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8">
              <w:r w:rsidR="005573F2" w:rsidRPr="00850BD6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UK Sponsor Register of Student Sponsors</w:t>
              </w:r>
            </w:hyperlink>
          </w:p>
        </w:tc>
      </w:tr>
      <w:tr w:rsidR="005573F2" w:rsidRPr="00850BD6" w14:paraId="7AD2F2CA" w14:textId="77777777" w:rsidTr="008E7AC4">
        <w:tc>
          <w:tcPr>
            <w:tcW w:w="4508" w:type="dxa"/>
          </w:tcPr>
          <w:p w14:paraId="7158EDB9" w14:textId="157D761E" w:rsidR="005573F2" w:rsidRPr="00850BD6" w:rsidRDefault="00CF44BA" w:rsidP="008E7AC4">
            <w:pPr>
              <w:spacing w:line="257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9">
              <w:r w:rsidR="008E7AC4" w:rsidRPr="008E7AC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Ofsted</w:t>
              </w:r>
            </w:hyperlink>
          </w:p>
        </w:tc>
        <w:tc>
          <w:tcPr>
            <w:tcW w:w="4508" w:type="dxa"/>
          </w:tcPr>
          <w:p w14:paraId="7BA4C2D2" w14:textId="77777777" w:rsidR="005573F2" w:rsidRPr="00850BD6" w:rsidRDefault="00CF44BA" w:rsidP="005573F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0">
              <w:r w:rsidR="005573F2" w:rsidRPr="00850BD6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UK.GOV Company Information</w:t>
              </w:r>
            </w:hyperlink>
          </w:p>
        </w:tc>
      </w:tr>
      <w:tr w:rsidR="008E7AC4" w:rsidRPr="00850BD6" w14:paraId="09822D6E" w14:textId="77777777" w:rsidTr="008E7AC4">
        <w:tc>
          <w:tcPr>
            <w:tcW w:w="4508" w:type="dxa"/>
          </w:tcPr>
          <w:p w14:paraId="76567E6B" w14:textId="128F7405" w:rsidR="008E7AC4" w:rsidRDefault="00CF44BA" w:rsidP="008E7AC4">
            <w:pPr>
              <w:spacing w:line="257" w:lineRule="auto"/>
              <w:jc w:val="both"/>
            </w:pPr>
            <w:hyperlink r:id="rId11">
              <w:r w:rsidR="008E7AC4" w:rsidRPr="00850BD6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UK ENIC (Formally NARIC)</w:t>
              </w:r>
            </w:hyperlink>
          </w:p>
        </w:tc>
        <w:tc>
          <w:tcPr>
            <w:tcW w:w="4508" w:type="dxa"/>
          </w:tcPr>
          <w:p w14:paraId="6F3CC5EE" w14:textId="77777777" w:rsidR="008E7AC4" w:rsidRDefault="008E7AC4" w:rsidP="008E7AC4">
            <w:pPr>
              <w:jc w:val="both"/>
            </w:pPr>
          </w:p>
        </w:tc>
      </w:tr>
    </w:tbl>
    <w:p w14:paraId="1141D2BD" w14:textId="61674DF7" w:rsidR="005573F2" w:rsidRDefault="005573F2" w:rsidP="00F77934">
      <w:pPr>
        <w:pStyle w:val="EndnoteText"/>
      </w:pPr>
    </w:p>
  </w:endnote>
  <w:endnote w:id="4">
    <w:p w14:paraId="23071B8C" w14:textId="77777777" w:rsidR="005573F2" w:rsidRPr="00971831" w:rsidRDefault="005573F2" w:rsidP="005573F2">
      <w:pPr>
        <w:pStyle w:val="EndnoteText"/>
        <w:rPr>
          <w:sz w:val="16"/>
          <w:szCs w:val="16"/>
        </w:rPr>
      </w:pPr>
      <w:r w:rsidRPr="00971831">
        <w:rPr>
          <w:rStyle w:val="EndnoteReference"/>
          <w:sz w:val="16"/>
          <w:szCs w:val="16"/>
        </w:rPr>
        <w:endnoteRef/>
      </w:r>
      <w:r w:rsidRPr="00971831">
        <w:rPr>
          <w:sz w:val="16"/>
          <w:szCs w:val="16"/>
        </w:rPr>
        <w:t xml:space="preserve"> </w:t>
      </w:r>
      <w:hyperlink r:id="rId12" w:history="1">
        <w:r w:rsidRPr="003D5FC5">
          <w:rPr>
            <w:rStyle w:val="Hyperlink"/>
            <w:sz w:val="16"/>
            <w:szCs w:val="16"/>
          </w:rPr>
          <w:t>UK Quality Code, Advice and Guidance: Admissions, Recruitment and Widening Access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2A5B" w14:textId="26068077" w:rsidR="00B16B9B" w:rsidRPr="00230805" w:rsidRDefault="00B16B9B" w:rsidP="00B16B9B">
    <w:pPr>
      <w:pStyle w:val="Footer"/>
      <w:rPr>
        <w:sz w:val="16"/>
        <w:szCs w:val="16"/>
      </w:rPr>
    </w:pPr>
    <w:r w:rsidRPr="00230805">
      <w:rPr>
        <w:sz w:val="16"/>
        <w:szCs w:val="16"/>
      </w:rPr>
      <w:t xml:space="preserve">Version </w:t>
    </w:r>
    <w:r>
      <w:rPr>
        <w:sz w:val="16"/>
        <w:szCs w:val="16"/>
      </w:rPr>
      <w:t>1</w:t>
    </w:r>
    <w:r w:rsidRPr="00230805">
      <w:rPr>
        <w:sz w:val="16"/>
        <w:szCs w:val="16"/>
      </w:rPr>
      <w:t>: Maintained by the Global Engagement Office (GEO)</w:t>
    </w:r>
  </w:p>
  <w:p w14:paraId="50EEAA5E" w14:textId="77777777" w:rsidR="00B16B9B" w:rsidRDefault="00B16B9B" w:rsidP="00B16B9B">
    <w:pPr>
      <w:pStyle w:val="Footer"/>
      <w:rPr>
        <w:sz w:val="16"/>
        <w:szCs w:val="16"/>
      </w:rPr>
    </w:pPr>
    <w:r w:rsidRPr="00230805">
      <w:rPr>
        <w:sz w:val="16"/>
        <w:szCs w:val="16"/>
      </w:rPr>
      <w:t xml:space="preserve">Owned by the Academic Strategy Committee (ASC) </w:t>
    </w:r>
    <w:r>
      <w:rPr>
        <w:sz w:val="16"/>
        <w:szCs w:val="16"/>
      </w:rPr>
      <w:t>ASC0166 17/01/2022</w:t>
    </w:r>
  </w:p>
  <w:p w14:paraId="6F0AB2A9" w14:textId="77777777" w:rsidR="00B16B9B" w:rsidRDefault="00B16B9B" w:rsidP="00B16B9B">
    <w:pPr>
      <w:pStyle w:val="Footer"/>
      <w:rPr>
        <w:sz w:val="16"/>
        <w:szCs w:val="16"/>
      </w:rPr>
    </w:pPr>
    <w:r>
      <w:rPr>
        <w:sz w:val="16"/>
        <w:szCs w:val="16"/>
      </w:rPr>
      <w:t>Location:</w:t>
    </w:r>
  </w:p>
  <w:p w14:paraId="0874E76C" w14:textId="77777777" w:rsidR="00B16B9B" w:rsidRPr="00437D97" w:rsidRDefault="00B16B9B" w:rsidP="00B16B9B">
    <w:pPr>
      <w:pStyle w:val="Footer"/>
      <w:jc w:val="center"/>
      <w:rPr>
        <w:b/>
        <w:sz w:val="16"/>
        <w:szCs w:val="16"/>
      </w:rPr>
    </w:pPr>
    <w:r w:rsidRPr="00437D97">
      <w:rPr>
        <w:b/>
        <w:sz w:val="16"/>
        <w:szCs w:val="16"/>
      </w:rPr>
      <w:t>CLASSIFIED</w:t>
    </w:r>
  </w:p>
  <w:p w14:paraId="6CD88ABF" w14:textId="77777777" w:rsidR="00B16B9B" w:rsidRDefault="00B16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A8E64" w14:textId="77777777" w:rsidR="005B7615" w:rsidRDefault="005B7615" w:rsidP="005B7615">
      <w:pPr>
        <w:spacing w:after="0" w:line="240" w:lineRule="auto"/>
      </w:pPr>
      <w:r>
        <w:separator/>
      </w:r>
    </w:p>
  </w:footnote>
  <w:footnote w:type="continuationSeparator" w:id="0">
    <w:p w14:paraId="439F40FE" w14:textId="77777777" w:rsidR="005B7615" w:rsidRDefault="005B7615" w:rsidP="005B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A45D2" w14:textId="7B825704" w:rsidR="004A2E2A" w:rsidRDefault="004A2E2A">
    <w:pPr>
      <w:pStyle w:val="Header"/>
    </w:pPr>
    <w:r w:rsidRPr="00432DB5">
      <w:rPr>
        <w:rFonts w:ascii="Gotham Light" w:hAnsi="Gotham Light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991EFD1" wp14:editId="0D39071B">
          <wp:simplePos x="0" y="0"/>
          <wp:positionH relativeFrom="margin">
            <wp:posOffset>-379095</wp:posOffset>
          </wp:positionH>
          <wp:positionV relativeFrom="paragraph">
            <wp:posOffset>635</wp:posOffset>
          </wp:positionV>
          <wp:extent cx="960120" cy="438785"/>
          <wp:effectExtent l="0" t="0" r="0" b="0"/>
          <wp:wrapSquare wrapText="bothSides"/>
          <wp:docPr id="7" name="Picture 7" descr="\\anfs1\acsf_users\acxxhmg\Desktop\Brunelcolour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nfs1\acsf_users\acxxhmg\Desktop\BrunelcolourLogo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BAD50" w14:textId="2FD2BA67" w:rsidR="004A2E2A" w:rsidRPr="004A2E2A" w:rsidRDefault="004A2E2A" w:rsidP="004A2E2A">
    <w:pPr>
      <w:pStyle w:val="Header"/>
      <w:jc w:val="center"/>
      <w:rPr>
        <w:b/>
        <w:sz w:val="24"/>
        <w:szCs w:val="24"/>
      </w:rPr>
    </w:pPr>
    <w:r w:rsidRPr="004A2E2A">
      <w:rPr>
        <w:b/>
        <w:sz w:val="24"/>
        <w:szCs w:val="24"/>
      </w:rPr>
      <w:t>Progression Proposal Form Guidance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eQUTIwefT2ct/Y" id="kEPEU4zF"/>
    <int:WordHash hashCode="BliQ4YS+OXu6VY" id="9euU413r"/>
    <int:WordHash hashCode="wCgj9rKdcuGrsF" id="kQ4Eqain"/>
  </int:Manifest>
  <int:Observations>
    <int:Content id="kEPEU4zF">
      <int:Rejection type="AugLoop_Text_Critique"/>
    </int:Content>
    <int:Content id="9euU413r">
      <int:Rejection type="AugLoop_Acronyms_AcronymsCritique"/>
    </int:Content>
    <int:Content id="kQ4Eqain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586C"/>
    <w:multiLevelType w:val="hybridMultilevel"/>
    <w:tmpl w:val="CDEA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27FAC"/>
    <w:multiLevelType w:val="hybridMultilevel"/>
    <w:tmpl w:val="91981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2439A"/>
    <w:multiLevelType w:val="hybridMultilevel"/>
    <w:tmpl w:val="27206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0EBF"/>
    <w:multiLevelType w:val="hybridMultilevel"/>
    <w:tmpl w:val="C57E07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4F6F74"/>
    <w:multiLevelType w:val="hybridMultilevel"/>
    <w:tmpl w:val="124C4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6613A"/>
    <w:multiLevelType w:val="hybridMultilevel"/>
    <w:tmpl w:val="6FD813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D8"/>
    <w:rsid w:val="00097C3D"/>
    <w:rsid w:val="000A06FC"/>
    <w:rsid w:val="001349D8"/>
    <w:rsid w:val="00147A4B"/>
    <w:rsid w:val="0018241F"/>
    <w:rsid w:val="00194DAD"/>
    <w:rsid w:val="002162EC"/>
    <w:rsid w:val="0029219E"/>
    <w:rsid w:val="00293595"/>
    <w:rsid w:val="00383A93"/>
    <w:rsid w:val="003D5FC5"/>
    <w:rsid w:val="00402FE6"/>
    <w:rsid w:val="00404037"/>
    <w:rsid w:val="004A2E2A"/>
    <w:rsid w:val="004F3BCE"/>
    <w:rsid w:val="00554F19"/>
    <w:rsid w:val="005573F2"/>
    <w:rsid w:val="00571097"/>
    <w:rsid w:val="005B7615"/>
    <w:rsid w:val="005E6827"/>
    <w:rsid w:val="00624A15"/>
    <w:rsid w:val="00672915"/>
    <w:rsid w:val="007519A4"/>
    <w:rsid w:val="007D0A74"/>
    <w:rsid w:val="007F1F3E"/>
    <w:rsid w:val="007F525E"/>
    <w:rsid w:val="00886296"/>
    <w:rsid w:val="008E29B2"/>
    <w:rsid w:val="008E7AC4"/>
    <w:rsid w:val="009170B7"/>
    <w:rsid w:val="00920771"/>
    <w:rsid w:val="00942763"/>
    <w:rsid w:val="00956D22"/>
    <w:rsid w:val="00971831"/>
    <w:rsid w:val="00B051D7"/>
    <w:rsid w:val="00B16B9B"/>
    <w:rsid w:val="00BA71C3"/>
    <w:rsid w:val="00BB25A6"/>
    <w:rsid w:val="00BF7B49"/>
    <w:rsid w:val="00C27D5E"/>
    <w:rsid w:val="00C61122"/>
    <w:rsid w:val="00C65D7C"/>
    <w:rsid w:val="00C97A5F"/>
    <w:rsid w:val="00CC27A2"/>
    <w:rsid w:val="00D424B3"/>
    <w:rsid w:val="00DA782C"/>
    <w:rsid w:val="00E24697"/>
    <w:rsid w:val="00E26A5E"/>
    <w:rsid w:val="00E72614"/>
    <w:rsid w:val="00E832A1"/>
    <w:rsid w:val="00F77934"/>
    <w:rsid w:val="049CDBB8"/>
    <w:rsid w:val="08323DF3"/>
    <w:rsid w:val="09D288CB"/>
    <w:rsid w:val="0DD2318D"/>
    <w:rsid w:val="0F485DF5"/>
    <w:rsid w:val="11BFF7DC"/>
    <w:rsid w:val="12C89DAF"/>
    <w:rsid w:val="29E91B11"/>
    <w:rsid w:val="31C52AFF"/>
    <w:rsid w:val="37053127"/>
    <w:rsid w:val="37F8C845"/>
    <w:rsid w:val="38946993"/>
    <w:rsid w:val="38B8D983"/>
    <w:rsid w:val="3A2AE1FE"/>
    <w:rsid w:val="3B807426"/>
    <w:rsid w:val="3BE337F1"/>
    <w:rsid w:val="40EA6614"/>
    <w:rsid w:val="4C6C7AA6"/>
    <w:rsid w:val="60A452AD"/>
    <w:rsid w:val="6729B60F"/>
    <w:rsid w:val="72717CCF"/>
    <w:rsid w:val="76B79EE4"/>
    <w:rsid w:val="7731A581"/>
    <w:rsid w:val="77AA6D9B"/>
    <w:rsid w:val="77DCCC63"/>
    <w:rsid w:val="7E2BB1D1"/>
    <w:rsid w:val="7F5DD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038A8C"/>
  <w15:chartTrackingRefBased/>
  <w15:docId w15:val="{27DFA6DD-A534-4541-B090-66B1DE29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B76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6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76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2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6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B9B"/>
  </w:style>
  <w:style w:type="paragraph" w:styleId="Footer">
    <w:name w:val="footer"/>
    <w:basedOn w:val="Normal"/>
    <w:link w:val="FooterChar"/>
    <w:uiPriority w:val="99"/>
    <w:unhideWhenUsed/>
    <w:rsid w:val="00B1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B9B"/>
  </w:style>
  <w:style w:type="character" w:styleId="CommentReference">
    <w:name w:val="annotation reference"/>
    <w:basedOn w:val="DefaultParagraphFont"/>
    <w:uiPriority w:val="99"/>
    <w:semiHidden/>
    <w:unhideWhenUsed/>
    <w:rsid w:val="00B05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5ac52884640144dc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Quish@brunel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34421/2021-11-18_-_Student_and_Child_Student.csv/preview" TargetMode="External"/><Relationship Id="rId3" Type="http://schemas.openxmlformats.org/officeDocument/2006/relationships/hyperlink" Target="https://www.officeforstudents.org.uk/advice-and-guidance/the-register/" TargetMode="External"/><Relationship Id="rId7" Type="http://schemas.openxmlformats.org/officeDocument/2006/relationships/hyperlink" Target="https://www.isi.net/" TargetMode="External"/><Relationship Id="rId12" Type="http://schemas.openxmlformats.org/officeDocument/2006/relationships/hyperlink" Target="https://www.qaa.ac.uk/en/quality-code/advice-and-guidance/admissions-recruitment-and-widening-access" TargetMode="External"/><Relationship Id="rId2" Type="http://schemas.openxmlformats.org/officeDocument/2006/relationships/hyperlink" Target="https://www.qaa.ac.uk/docs/qaa/quality-code/higher-education-credit-framework-for-england.pdf?sfvrsn=527fd781_8" TargetMode="External"/><Relationship Id="rId1" Type="http://schemas.openxmlformats.org/officeDocument/2006/relationships/hyperlink" Target="https://www.qaa.ac.uk/docs/qaa/guidance/qaa-glossary.pdf?sfvrsn=70cbfc81_2" TargetMode="External"/><Relationship Id="rId6" Type="http://schemas.openxmlformats.org/officeDocument/2006/relationships/hyperlink" Target="https://education-services.britishcouncil.org/" TargetMode="External"/><Relationship Id="rId11" Type="http://schemas.openxmlformats.org/officeDocument/2006/relationships/hyperlink" Target="https://www.enic.org.uk/" TargetMode="External"/><Relationship Id="rId5" Type="http://schemas.openxmlformats.org/officeDocument/2006/relationships/hyperlink" Target="https://www.qaa.ac.uk/en/reviewing-higher-education/quality-assurance-reports" TargetMode="External"/><Relationship Id="rId10" Type="http://schemas.openxmlformats.org/officeDocument/2006/relationships/hyperlink" Target="https://find-and-update.company-information.service.gov.uk/" TargetMode="External"/><Relationship Id="rId4" Type="http://schemas.openxmlformats.org/officeDocument/2006/relationships/hyperlink" Target="https://en.wikipedia.org/wiki/List_of_education_ministries" TargetMode="External"/><Relationship Id="rId9" Type="http://schemas.openxmlformats.org/officeDocument/2006/relationships/hyperlink" Target="https://reports.ofsted.gov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7f780-d03a-425a-9247-383529aa7c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D8E08CD12D4181302EEDD29C4AAF" ma:contentTypeVersion="15" ma:contentTypeDescription="Create a new document." ma:contentTypeScope="" ma:versionID="2e879ba0c27c27abc8cc5b1a486e813e">
  <xsd:schema xmlns:xsd="http://www.w3.org/2001/XMLSchema" xmlns:xs="http://www.w3.org/2001/XMLSchema" xmlns:p="http://schemas.microsoft.com/office/2006/metadata/properties" xmlns:ns3="f0b7f780-d03a-425a-9247-383529aa7c83" xmlns:ns4="5859a05c-9d87-4ffe-b76d-4a131776ef7c" targetNamespace="http://schemas.microsoft.com/office/2006/metadata/properties" ma:root="true" ma:fieldsID="5ee664bf6f24eb0051eceba5404c4249" ns3:_="" ns4:_="">
    <xsd:import namespace="f0b7f780-d03a-425a-9247-383529aa7c83"/>
    <xsd:import namespace="5859a05c-9d87-4ffe-b76d-4a131776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f780-d03a-425a-9247-383529aa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a05c-9d87-4ffe-b76d-4a131776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B260-579F-4EEA-AAF6-42C81F98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66769-ED48-4C6A-AB1A-77F28A26F10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5859a05c-9d87-4ffe-b76d-4a131776ef7c"/>
    <ds:schemaRef ds:uri="f0b7f780-d03a-425a-9247-383529aa7c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0169B5-7F2B-4318-84DB-92D0D429F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f780-d03a-425a-9247-383529aa7c83"/>
    <ds:schemaRef ds:uri="5859a05c-9d87-4ffe-b76d-4a131776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35FFA-9CFD-41E8-85BE-3E4B5D17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GEO009 Progression-Proposal-Guidance</dc:title>
  <dc:subject>
  </dc:subject>
  <dc:creator>Mel MacCarthy (Staff)</dc:creator>
  <cp:keywords>
  </cp:keywords>
  <dc:description>
  </dc:description>
  <cp:lastModifiedBy>Shanice Tiryaki</cp:lastModifiedBy>
  <cp:revision>2</cp:revision>
  <dcterms:created xsi:type="dcterms:W3CDTF">2023-09-25T17:10:00Z</dcterms:created>
  <dcterms:modified xsi:type="dcterms:W3CDTF">2023-09-26T15:50:19Z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0x010100DA02D8E08CD12D4181302EEDD29C4AAF</vt:lpwstr>
  </property>
</Properties>
</file>